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28" w:rsidRDefault="00712E28" w:rsidP="00712E28">
      <w:pPr>
        <w:pStyle w:val="Title"/>
        <w:jc w:val="left"/>
        <w:rPr>
          <w:b w:val="0"/>
          <w:i w:val="0"/>
        </w:rPr>
      </w:pPr>
      <w:bookmarkStart w:id="0" w:name="_GoBack"/>
      <w:bookmarkEnd w:id="0"/>
      <w:r>
        <w:rPr>
          <w:b w:val="0"/>
          <w:i w:val="0"/>
        </w:rPr>
        <w:t xml:space="preserve">      </w:t>
      </w:r>
      <w:r w:rsidR="00201ABE">
        <w:rPr>
          <w:b w:val="0"/>
          <w:i w:val="0"/>
          <w:noProof/>
        </w:rPr>
        <w:drawing>
          <wp:inline distT="0" distB="0" distL="0" distR="0">
            <wp:extent cx="68834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1614170"/>
                    </a:xfrm>
                    <a:prstGeom prst="rect">
                      <a:avLst/>
                    </a:prstGeom>
                    <a:noFill/>
                    <a:ln>
                      <a:noFill/>
                    </a:ln>
                  </pic:spPr>
                </pic:pic>
              </a:graphicData>
            </a:graphic>
          </wp:inline>
        </w:drawing>
      </w:r>
      <w:r>
        <w:rPr>
          <w:b w:val="0"/>
          <w:i w:val="0"/>
        </w:rPr>
        <w:t xml:space="preserve">                      </w:t>
      </w:r>
      <w:r w:rsidR="00201ABE">
        <w:rPr>
          <w:b w:val="0"/>
          <w:i w:val="0"/>
          <w:noProof/>
        </w:rPr>
        <w:drawing>
          <wp:inline distT="0" distB="0" distL="0" distR="0">
            <wp:extent cx="1377315" cy="1535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1535430"/>
                    </a:xfrm>
                    <a:prstGeom prst="rect">
                      <a:avLst/>
                    </a:prstGeom>
                    <a:noFill/>
                    <a:ln>
                      <a:noFill/>
                    </a:ln>
                  </pic:spPr>
                </pic:pic>
              </a:graphicData>
            </a:graphic>
          </wp:inline>
        </w:drawing>
      </w:r>
      <w:r>
        <w:rPr>
          <w:b w:val="0"/>
          <w:i w:val="0"/>
        </w:rPr>
        <w:t xml:space="preserve">                      </w:t>
      </w:r>
      <w:r w:rsidR="00201ABE">
        <w:rPr>
          <w:b w:val="0"/>
          <w:i w:val="0"/>
          <w:noProof/>
        </w:rPr>
        <w:drawing>
          <wp:inline distT="0" distB="0" distL="0" distR="0">
            <wp:extent cx="688340" cy="1614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1614170"/>
                    </a:xfrm>
                    <a:prstGeom prst="rect">
                      <a:avLst/>
                    </a:prstGeom>
                    <a:noFill/>
                    <a:ln>
                      <a:noFill/>
                    </a:ln>
                  </pic:spPr>
                </pic:pic>
              </a:graphicData>
            </a:graphic>
          </wp:inline>
        </w:drawing>
      </w:r>
    </w:p>
    <w:p w:rsidR="00EB4005" w:rsidRDefault="00EB4005" w:rsidP="00FF4D6F">
      <w:pPr>
        <w:jc w:val="center"/>
        <w:rPr>
          <w:b/>
          <w:i/>
          <w:sz w:val="32"/>
          <w:szCs w:val="32"/>
        </w:rPr>
      </w:pPr>
    </w:p>
    <w:p w:rsidR="00EB4005" w:rsidRPr="009D6E67" w:rsidRDefault="00EB4005" w:rsidP="00FF4D6F">
      <w:pPr>
        <w:jc w:val="center"/>
        <w:rPr>
          <w:sz w:val="24"/>
          <w:szCs w:val="24"/>
        </w:rPr>
      </w:pPr>
    </w:p>
    <w:p w:rsidR="009D6E67" w:rsidRPr="00FA200A" w:rsidRDefault="00BD3E79" w:rsidP="009D6E67">
      <w:pPr>
        <w:jc w:val="center"/>
        <w:rPr>
          <w:sz w:val="32"/>
          <w:szCs w:val="32"/>
        </w:rPr>
      </w:pPr>
      <w:r>
        <w:rPr>
          <w:sz w:val="32"/>
          <w:szCs w:val="32"/>
        </w:rPr>
        <w:t>PIAA Spectator Decor</w:t>
      </w:r>
    </w:p>
    <w:p w:rsidR="009D6E67" w:rsidRPr="009D6E67" w:rsidRDefault="009D6E67" w:rsidP="009D6E67">
      <w:pPr>
        <w:rPr>
          <w:sz w:val="24"/>
          <w:szCs w:val="24"/>
        </w:rPr>
      </w:pPr>
    </w:p>
    <w:p w:rsidR="009D6E67" w:rsidRDefault="009D6E67" w:rsidP="00BD3E79">
      <w:pPr>
        <w:rPr>
          <w:sz w:val="24"/>
          <w:szCs w:val="24"/>
        </w:rPr>
      </w:pPr>
    </w:p>
    <w:p w:rsidR="00BD3E79" w:rsidRDefault="00BD3E79" w:rsidP="00BD3E79">
      <w:pPr>
        <w:rPr>
          <w:sz w:val="24"/>
          <w:szCs w:val="24"/>
        </w:rPr>
      </w:pPr>
      <w:r>
        <w:rPr>
          <w:sz w:val="24"/>
          <w:szCs w:val="24"/>
        </w:rPr>
        <w:t>“This policy is strictly enforced for the welfare of the players!”  Parents and spectators are welcome and encouraged to attend all tournaments.  Spectators and parents are asked to adhere to the following guidelines at all Suburban One golf events:</w:t>
      </w:r>
    </w:p>
    <w:p w:rsidR="00BD3E79" w:rsidRDefault="00BD3E79" w:rsidP="00BD3E79">
      <w:pPr>
        <w:rPr>
          <w:sz w:val="24"/>
          <w:szCs w:val="24"/>
        </w:rPr>
      </w:pPr>
    </w:p>
    <w:p w:rsidR="00BD3E79" w:rsidRDefault="00BD3E79" w:rsidP="00BD3E79">
      <w:pPr>
        <w:numPr>
          <w:ilvl w:val="0"/>
          <w:numId w:val="5"/>
        </w:numPr>
        <w:rPr>
          <w:sz w:val="24"/>
          <w:szCs w:val="24"/>
        </w:rPr>
      </w:pPr>
      <w:r>
        <w:rPr>
          <w:sz w:val="24"/>
          <w:szCs w:val="24"/>
        </w:rPr>
        <w:t>Spectators are asked to stay on the cart paths, or in the rough where cart paths are not accessible, and at least 30 yards away from the players.  Do not walk in the fairways.</w:t>
      </w:r>
    </w:p>
    <w:p w:rsidR="00BD3E79" w:rsidRDefault="00BD3E79" w:rsidP="00BD3E79">
      <w:pPr>
        <w:numPr>
          <w:ilvl w:val="0"/>
          <w:numId w:val="5"/>
        </w:numPr>
        <w:rPr>
          <w:sz w:val="24"/>
          <w:szCs w:val="24"/>
        </w:rPr>
      </w:pPr>
      <w:r>
        <w:rPr>
          <w:sz w:val="24"/>
          <w:szCs w:val="24"/>
        </w:rPr>
        <w:t>Spectators are permitted to walk the golf course.  The use of motorized carts, or any motorized vehicle, by spectators at any Suburban One golf competition is strictly prohibited.</w:t>
      </w:r>
    </w:p>
    <w:p w:rsidR="00BD3E79" w:rsidRDefault="00BD3E79" w:rsidP="00BD3E79">
      <w:pPr>
        <w:numPr>
          <w:ilvl w:val="0"/>
          <w:numId w:val="5"/>
        </w:numPr>
        <w:rPr>
          <w:sz w:val="24"/>
          <w:szCs w:val="24"/>
        </w:rPr>
      </w:pPr>
      <w:r>
        <w:rPr>
          <w:sz w:val="24"/>
          <w:szCs w:val="24"/>
        </w:rPr>
        <w:t>Always be aware of the group behind you.</w:t>
      </w:r>
    </w:p>
    <w:p w:rsidR="00BD3E79" w:rsidRDefault="00BD3E79" w:rsidP="00BD3E79">
      <w:pPr>
        <w:numPr>
          <w:ilvl w:val="0"/>
          <w:numId w:val="5"/>
        </w:numPr>
        <w:rPr>
          <w:sz w:val="24"/>
          <w:szCs w:val="24"/>
        </w:rPr>
      </w:pPr>
      <w:r>
        <w:rPr>
          <w:sz w:val="24"/>
          <w:szCs w:val="24"/>
        </w:rPr>
        <w:t xml:space="preserve">Spectators are allowed </w:t>
      </w:r>
      <w:r w:rsidR="000D5540">
        <w:rPr>
          <w:sz w:val="24"/>
          <w:szCs w:val="24"/>
        </w:rPr>
        <w:t>to carry water, umbrellas, jackets, towels and food for the players.</w:t>
      </w:r>
    </w:p>
    <w:p w:rsidR="000D5540" w:rsidRDefault="000D5540" w:rsidP="000D5540">
      <w:pPr>
        <w:numPr>
          <w:ilvl w:val="0"/>
          <w:numId w:val="5"/>
        </w:numPr>
        <w:rPr>
          <w:sz w:val="24"/>
          <w:szCs w:val="24"/>
        </w:rPr>
      </w:pPr>
      <w:r w:rsidRPr="000E2B26">
        <w:rPr>
          <w:b/>
          <w:sz w:val="24"/>
          <w:szCs w:val="24"/>
          <w:u w:val="single"/>
        </w:rPr>
        <w:t>DO NOT</w:t>
      </w:r>
      <w:r>
        <w:rPr>
          <w:sz w:val="24"/>
          <w:szCs w:val="24"/>
        </w:rPr>
        <w:t xml:space="preserve"> talk to the players as this action may be construed as giving advice, resulting in a penalty for the player.  Spectators are not allowed to give advice to the players.  Under rule 8 of the USGA rules, the definition of advice is:</w:t>
      </w:r>
    </w:p>
    <w:p w:rsidR="000D5540" w:rsidRDefault="000D5540" w:rsidP="000D5540">
      <w:pPr>
        <w:ind w:left="1080"/>
        <w:rPr>
          <w:sz w:val="24"/>
          <w:szCs w:val="24"/>
        </w:rPr>
      </w:pPr>
    </w:p>
    <w:p w:rsidR="000D5540" w:rsidRDefault="000D5540" w:rsidP="000D5540">
      <w:pPr>
        <w:ind w:left="1080"/>
        <w:rPr>
          <w:i/>
          <w:sz w:val="24"/>
          <w:szCs w:val="24"/>
        </w:rPr>
      </w:pPr>
      <w:r w:rsidRPr="000D5540">
        <w:rPr>
          <w:i/>
          <w:sz w:val="24"/>
          <w:szCs w:val="24"/>
        </w:rPr>
        <w:t>“Advice is any counsel or suggestion which could influence a player in determining his/her play, the choice of club or method of making a stroke.”</w:t>
      </w:r>
    </w:p>
    <w:p w:rsidR="000E2B26" w:rsidRDefault="000E2B26" w:rsidP="000D5540">
      <w:pPr>
        <w:ind w:left="1080"/>
        <w:rPr>
          <w:i/>
          <w:sz w:val="24"/>
          <w:szCs w:val="24"/>
        </w:rPr>
      </w:pPr>
    </w:p>
    <w:p w:rsidR="000E2B26" w:rsidRPr="000E2B26" w:rsidRDefault="000E2B26" w:rsidP="000D5540">
      <w:pPr>
        <w:ind w:left="1080"/>
        <w:rPr>
          <w:b/>
          <w:sz w:val="24"/>
          <w:szCs w:val="24"/>
          <w:u w:val="single"/>
        </w:rPr>
      </w:pPr>
      <w:r w:rsidRPr="000E2B26">
        <w:rPr>
          <w:b/>
          <w:sz w:val="24"/>
          <w:szCs w:val="24"/>
          <w:u w:val="single"/>
        </w:rPr>
        <w:t>Penalty for breach of Rule 8:</w:t>
      </w:r>
    </w:p>
    <w:p w:rsidR="000E2B26" w:rsidRPr="000E2B26" w:rsidRDefault="000E2B26" w:rsidP="000D5540">
      <w:pPr>
        <w:ind w:left="1080"/>
        <w:rPr>
          <w:b/>
          <w:sz w:val="24"/>
          <w:szCs w:val="24"/>
          <w:u w:val="single"/>
        </w:rPr>
      </w:pPr>
      <w:r w:rsidRPr="000E2B26">
        <w:rPr>
          <w:b/>
          <w:sz w:val="24"/>
          <w:szCs w:val="24"/>
          <w:u w:val="single"/>
        </w:rPr>
        <w:t>Match Play = Loss of Hole</w:t>
      </w:r>
    </w:p>
    <w:p w:rsidR="000E2B26" w:rsidRPr="000E2B26" w:rsidRDefault="000E2B26" w:rsidP="000D5540">
      <w:pPr>
        <w:ind w:left="1080"/>
        <w:rPr>
          <w:b/>
          <w:sz w:val="24"/>
          <w:szCs w:val="24"/>
          <w:u w:val="single"/>
        </w:rPr>
      </w:pPr>
      <w:r w:rsidRPr="000E2B26">
        <w:rPr>
          <w:b/>
          <w:sz w:val="24"/>
          <w:szCs w:val="24"/>
          <w:u w:val="single"/>
        </w:rPr>
        <w:t>Stroke Play = Two Strokes</w:t>
      </w:r>
    </w:p>
    <w:p w:rsidR="000D5540" w:rsidRDefault="000D5540" w:rsidP="000D5540">
      <w:pPr>
        <w:rPr>
          <w:i/>
          <w:sz w:val="24"/>
          <w:szCs w:val="24"/>
        </w:rPr>
      </w:pPr>
    </w:p>
    <w:p w:rsidR="000D5540" w:rsidRDefault="000D5540" w:rsidP="000D5540">
      <w:pPr>
        <w:numPr>
          <w:ilvl w:val="0"/>
          <w:numId w:val="5"/>
        </w:numPr>
        <w:rPr>
          <w:sz w:val="24"/>
          <w:szCs w:val="24"/>
        </w:rPr>
      </w:pPr>
      <w:r>
        <w:rPr>
          <w:sz w:val="24"/>
          <w:szCs w:val="24"/>
        </w:rPr>
        <w:t>The player is responsible for the actions of his/her spectators and may be subject to penalty.</w:t>
      </w:r>
    </w:p>
    <w:p w:rsidR="000D5540" w:rsidRDefault="000D5540" w:rsidP="000D5540">
      <w:pPr>
        <w:numPr>
          <w:ilvl w:val="0"/>
          <w:numId w:val="5"/>
        </w:numPr>
        <w:rPr>
          <w:sz w:val="24"/>
          <w:szCs w:val="24"/>
        </w:rPr>
      </w:pPr>
      <w:r>
        <w:rPr>
          <w:sz w:val="24"/>
          <w:szCs w:val="24"/>
        </w:rPr>
        <w:t xml:space="preserve">Spectators may not carry a player’s </w:t>
      </w:r>
      <w:r w:rsidR="000E2B26">
        <w:rPr>
          <w:sz w:val="24"/>
          <w:szCs w:val="24"/>
        </w:rPr>
        <w:t>golf bag and/or clubs.</w:t>
      </w:r>
    </w:p>
    <w:p w:rsidR="000E2B26" w:rsidRDefault="000E2B26" w:rsidP="000D5540">
      <w:pPr>
        <w:numPr>
          <w:ilvl w:val="0"/>
          <w:numId w:val="5"/>
        </w:numPr>
        <w:rPr>
          <w:sz w:val="24"/>
          <w:szCs w:val="24"/>
        </w:rPr>
      </w:pPr>
      <w:r>
        <w:rPr>
          <w:sz w:val="24"/>
          <w:szCs w:val="24"/>
        </w:rPr>
        <w:t>The use of cellular phones, beepers, radios, and other like devices is discourteous and distracting to player’s and fellow spectators.  All spectators and parents are advised that the use of any such device is prohibited.  If you are expecting a call, please use the Pro Shop number.  If you receive an emergency call, the Suburban One coaches, and Pro Shop, will do their best to see that you get the message.</w:t>
      </w:r>
    </w:p>
    <w:p w:rsidR="000E2B26" w:rsidRDefault="000E2B26" w:rsidP="000E2B26">
      <w:pPr>
        <w:rPr>
          <w:sz w:val="24"/>
          <w:szCs w:val="24"/>
        </w:rPr>
      </w:pPr>
    </w:p>
    <w:p w:rsidR="000E2B26" w:rsidRPr="000D5540" w:rsidRDefault="000E2B26" w:rsidP="000E2B26">
      <w:pPr>
        <w:rPr>
          <w:sz w:val="24"/>
          <w:szCs w:val="24"/>
        </w:rPr>
      </w:pPr>
      <w:r>
        <w:rPr>
          <w:sz w:val="24"/>
          <w:szCs w:val="24"/>
        </w:rPr>
        <w:t>Parents and spectators will receive one verbal warning if any of the above guidelines are not adhered to.  A second action will result in a penalty for the player and the removal of the spectator from the golf course to the scoring area.</w:t>
      </w:r>
    </w:p>
    <w:p w:rsidR="000D5540" w:rsidRPr="000D5540" w:rsidRDefault="000D5540" w:rsidP="000D5540">
      <w:pPr>
        <w:rPr>
          <w:sz w:val="24"/>
          <w:szCs w:val="24"/>
        </w:rPr>
      </w:pPr>
    </w:p>
    <w:sectPr w:rsidR="000D5540" w:rsidRPr="000D5540" w:rsidSect="009D6E67">
      <w:pgSz w:w="12240" w:h="15840" w:code="1"/>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AA8C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E04FE8"/>
    <w:multiLevelType w:val="hybridMultilevel"/>
    <w:tmpl w:val="E3B080AE"/>
    <w:lvl w:ilvl="0" w:tplc="96826A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7A6424"/>
    <w:multiLevelType w:val="hybridMultilevel"/>
    <w:tmpl w:val="FC7A8B36"/>
    <w:lvl w:ilvl="0" w:tplc="31FC01B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5F0EE0"/>
    <w:multiLevelType w:val="hybridMultilevel"/>
    <w:tmpl w:val="106C81AA"/>
    <w:lvl w:ilvl="0" w:tplc="4FC6C084">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6F44604F"/>
    <w:multiLevelType w:val="hybridMultilevel"/>
    <w:tmpl w:val="92F6912C"/>
    <w:lvl w:ilvl="0" w:tplc="D652AFD2">
      <w:start w:val="2007"/>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4B"/>
    <w:rsid w:val="0004374B"/>
    <w:rsid w:val="000A4823"/>
    <w:rsid w:val="000D5540"/>
    <w:rsid w:val="000E1121"/>
    <w:rsid w:val="000E2B26"/>
    <w:rsid w:val="000E6DF2"/>
    <w:rsid w:val="00111A05"/>
    <w:rsid w:val="00114302"/>
    <w:rsid w:val="00124B37"/>
    <w:rsid w:val="00180684"/>
    <w:rsid w:val="001A2E0A"/>
    <w:rsid w:val="00201ABE"/>
    <w:rsid w:val="002455E4"/>
    <w:rsid w:val="002B60CE"/>
    <w:rsid w:val="0033410A"/>
    <w:rsid w:val="003438E8"/>
    <w:rsid w:val="00366595"/>
    <w:rsid w:val="003901C5"/>
    <w:rsid w:val="003F1732"/>
    <w:rsid w:val="004E289E"/>
    <w:rsid w:val="00553714"/>
    <w:rsid w:val="00562643"/>
    <w:rsid w:val="0056463A"/>
    <w:rsid w:val="0057176F"/>
    <w:rsid w:val="006026DC"/>
    <w:rsid w:val="00681010"/>
    <w:rsid w:val="00712E28"/>
    <w:rsid w:val="007928AE"/>
    <w:rsid w:val="00796824"/>
    <w:rsid w:val="007D4EAC"/>
    <w:rsid w:val="008423E8"/>
    <w:rsid w:val="008648A5"/>
    <w:rsid w:val="00874BD7"/>
    <w:rsid w:val="008D1F2A"/>
    <w:rsid w:val="0091223B"/>
    <w:rsid w:val="009729CA"/>
    <w:rsid w:val="009C3DD4"/>
    <w:rsid w:val="009D6E67"/>
    <w:rsid w:val="00AC0DD2"/>
    <w:rsid w:val="00B61BC1"/>
    <w:rsid w:val="00BC2745"/>
    <w:rsid w:val="00BD3E79"/>
    <w:rsid w:val="00C64995"/>
    <w:rsid w:val="00C668BC"/>
    <w:rsid w:val="00C675A6"/>
    <w:rsid w:val="00CB45AE"/>
    <w:rsid w:val="00CD2357"/>
    <w:rsid w:val="00D40773"/>
    <w:rsid w:val="00D82A47"/>
    <w:rsid w:val="00D95B9D"/>
    <w:rsid w:val="00DD0D37"/>
    <w:rsid w:val="00E32D55"/>
    <w:rsid w:val="00E70879"/>
    <w:rsid w:val="00EB4005"/>
    <w:rsid w:val="00EC61B4"/>
    <w:rsid w:val="00F27B71"/>
    <w:rsid w:val="00F37F2E"/>
    <w:rsid w:val="00F41737"/>
    <w:rsid w:val="00FF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45"/>
  </w:style>
  <w:style w:type="paragraph" w:styleId="Heading1">
    <w:name w:val="heading 1"/>
    <w:basedOn w:val="Normal"/>
    <w:next w:val="Normal"/>
    <w:qFormat/>
    <w:rsid w:val="00D95B9D"/>
    <w:pPr>
      <w:keepNext/>
      <w:outlineLvl w:val="0"/>
    </w:pPr>
    <w:rPr>
      <w:sz w:val="28"/>
    </w:rPr>
  </w:style>
  <w:style w:type="paragraph" w:styleId="Heading2">
    <w:name w:val="heading 2"/>
    <w:basedOn w:val="Normal"/>
    <w:next w:val="Normal"/>
    <w:qFormat/>
    <w:rsid w:val="00D95B9D"/>
    <w:pPr>
      <w:keepNext/>
      <w:outlineLvl w:val="1"/>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95B9D"/>
    <w:pPr>
      <w:jc w:val="center"/>
    </w:pPr>
    <w:rPr>
      <w:b/>
      <w:i/>
      <w:sz w:val="40"/>
    </w:rPr>
  </w:style>
  <w:style w:type="paragraph" w:styleId="Subtitle">
    <w:name w:val="Subtitle"/>
    <w:basedOn w:val="Normal"/>
    <w:qFormat/>
    <w:rsid w:val="00D95B9D"/>
    <w:pPr>
      <w:jc w:val="center"/>
    </w:pPr>
    <w:rPr>
      <w:b/>
      <w:i/>
      <w:sz w:val="28"/>
    </w:rPr>
  </w:style>
  <w:style w:type="paragraph" w:styleId="ListBullet">
    <w:name w:val="List Bullet"/>
    <w:basedOn w:val="Normal"/>
    <w:autoRedefine/>
    <w:rsid w:val="00D95B9D"/>
    <w:pPr>
      <w:numPr>
        <w:numId w:val="1"/>
      </w:numPr>
    </w:pPr>
  </w:style>
  <w:style w:type="character" w:styleId="Hyperlink">
    <w:name w:val="Hyperlink"/>
    <w:basedOn w:val="DefaultParagraphFont"/>
    <w:rsid w:val="006026DC"/>
    <w:rPr>
      <w:color w:val="0000FF"/>
      <w:u w:val="single"/>
    </w:rPr>
  </w:style>
  <w:style w:type="paragraph" w:styleId="BodyText">
    <w:name w:val="Body Text"/>
    <w:basedOn w:val="Normal"/>
    <w:rsid w:val="00FF4D6F"/>
    <w:rPr>
      <w:sz w:val="24"/>
    </w:rPr>
  </w:style>
  <w:style w:type="paragraph" w:styleId="BalloonText">
    <w:name w:val="Balloon Text"/>
    <w:basedOn w:val="Normal"/>
    <w:semiHidden/>
    <w:rsid w:val="003901C5"/>
    <w:rPr>
      <w:rFonts w:ascii="Tahoma" w:hAnsi="Tahoma" w:cs="Tahoma"/>
      <w:sz w:val="16"/>
      <w:szCs w:val="16"/>
    </w:rPr>
  </w:style>
  <w:style w:type="character" w:customStyle="1" w:styleId="TitleChar">
    <w:name w:val="Title Char"/>
    <w:basedOn w:val="DefaultParagraphFont"/>
    <w:link w:val="Title"/>
    <w:uiPriority w:val="99"/>
    <w:locked/>
    <w:rsid w:val="00712E28"/>
    <w:rPr>
      <w:b/>
      <w:i/>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45"/>
  </w:style>
  <w:style w:type="paragraph" w:styleId="Heading1">
    <w:name w:val="heading 1"/>
    <w:basedOn w:val="Normal"/>
    <w:next w:val="Normal"/>
    <w:qFormat/>
    <w:rsid w:val="00D95B9D"/>
    <w:pPr>
      <w:keepNext/>
      <w:outlineLvl w:val="0"/>
    </w:pPr>
    <w:rPr>
      <w:sz w:val="28"/>
    </w:rPr>
  </w:style>
  <w:style w:type="paragraph" w:styleId="Heading2">
    <w:name w:val="heading 2"/>
    <w:basedOn w:val="Normal"/>
    <w:next w:val="Normal"/>
    <w:qFormat/>
    <w:rsid w:val="00D95B9D"/>
    <w:pPr>
      <w:keepNext/>
      <w:outlineLvl w:val="1"/>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95B9D"/>
    <w:pPr>
      <w:jc w:val="center"/>
    </w:pPr>
    <w:rPr>
      <w:b/>
      <w:i/>
      <w:sz w:val="40"/>
    </w:rPr>
  </w:style>
  <w:style w:type="paragraph" w:styleId="Subtitle">
    <w:name w:val="Subtitle"/>
    <w:basedOn w:val="Normal"/>
    <w:qFormat/>
    <w:rsid w:val="00D95B9D"/>
    <w:pPr>
      <w:jc w:val="center"/>
    </w:pPr>
    <w:rPr>
      <w:b/>
      <w:i/>
      <w:sz w:val="28"/>
    </w:rPr>
  </w:style>
  <w:style w:type="paragraph" w:styleId="ListBullet">
    <w:name w:val="List Bullet"/>
    <w:basedOn w:val="Normal"/>
    <w:autoRedefine/>
    <w:rsid w:val="00D95B9D"/>
    <w:pPr>
      <w:numPr>
        <w:numId w:val="1"/>
      </w:numPr>
    </w:pPr>
  </w:style>
  <w:style w:type="character" w:styleId="Hyperlink">
    <w:name w:val="Hyperlink"/>
    <w:basedOn w:val="DefaultParagraphFont"/>
    <w:rsid w:val="006026DC"/>
    <w:rPr>
      <w:color w:val="0000FF"/>
      <w:u w:val="single"/>
    </w:rPr>
  </w:style>
  <w:style w:type="paragraph" w:styleId="BodyText">
    <w:name w:val="Body Text"/>
    <w:basedOn w:val="Normal"/>
    <w:rsid w:val="00FF4D6F"/>
    <w:rPr>
      <w:sz w:val="24"/>
    </w:rPr>
  </w:style>
  <w:style w:type="paragraph" w:styleId="BalloonText">
    <w:name w:val="Balloon Text"/>
    <w:basedOn w:val="Normal"/>
    <w:semiHidden/>
    <w:rsid w:val="003901C5"/>
    <w:rPr>
      <w:rFonts w:ascii="Tahoma" w:hAnsi="Tahoma" w:cs="Tahoma"/>
      <w:sz w:val="16"/>
      <w:szCs w:val="16"/>
    </w:rPr>
  </w:style>
  <w:style w:type="character" w:customStyle="1" w:styleId="TitleChar">
    <w:name w:val="Title Char"/>
    <w:basedOn w:val="DefaultParagraphFont"/>
    <w:link w:val="Title"/>
    <w:uiPriority w:val="99"/>
    <w:locked/>
    <w:rsid w:val="00712E28"/>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Usual Template</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Carl Sandburg 1998-99</vt:lpstr>
    </vt:vector>
  </TitlesOfParts>
  <Company>Micron Electronics, Inc.</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Sandburg 1998-99</dc:title>
  <dc:creator>Kenneth J. Gurysh</dc:creator>
  <cp:lastModifiedBy>Martys, David</cp:lastModifiedBy>
  <cp:revision>2</cp:revision>
  <cp:lastPrinted>2008-05-05T16:56:00Z</cp:lastPrinted>
  <dcterms:created xsi:type="dcterms:W3CDTF">2014-04-22T15:49:00Z</dcterms:created>
  <dcterms:modified xsi:type="dcterms:W3CDTF">2014-04-22T15:49:00Z</dcterms:modified>
</cp:coreProperties>
</file>